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A8" w:rsidRPr="00C267A8" w:rsidRDefault="00C267A8" w:rsidP="00C267A8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267A8">
        <w:rPr>
          <w:rFonts w:ascii="Calibri" w:eastAsia="Times New Roman" w:hAnsi="Calibri" w:cs="Times New Roman"/>
          <w:b/>
          <w:bCs/>
          <w:i/>
          <w:iCs/>
          <w:color w:val="76923C"/>
          <w:sz w:val="28"/>
          <w:szCs w:val="28"/>
          <w:lang w:eastAsia="nl-NL"/>
        </w:rPr>
        <w:t>Docu</w:t>
      </w:r>
      <w:proofErr w:type="spellEnd"/>
      <w:r w:rsidRPr="00C267A8">
        <w:rPr>
          <w:rFonts w:ascii="Calibri" w:eastAsia="Times New Roman" w:hAnsi="Calibri" w:cs="Times New Roman"/>
          <w:b/>
          <w:bCs/>
          <w:i/>
          <w:iCs/>
          <w:color w:val="76923C"/>
          <w:sz w:val="28"/>
          <w:szCs w:val="28"/>
          <w:lang w:eastAsia="nl-NL"/>
        </w:rPr>
        <w:t>-alert 323 ;  26 oktober 2018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267A8">
        <w:rPr>
          <w:rFonts w:ascii="Calibri" w:eastAsia="Times New Roman" w:hAnsi="Calibri" w:cs="Times New Roman"/>
          <w:i/>
          <w:iCs/>
          <w:color w:val="76923C"/>
          <w:sz w:val="24"/>
          <w:szCs w:val="24"/>
          <w:lang w:eastAsia="nl-NL"/>
        </w:rPr>
        <w:t>Docu</w:t>
      </w:r>
      <w:proofErr w:type="spellEnd"/>
      <w:r w:rsidRPr="00C267A8">
        <w:rPr>
          <w:rFonts w:ascii="Calibri" w:eastAsia="Times New Roman" w:hAnsi="Calibri" w:cs="Times New Roman"/>
          <w:i/>
          <w:iCs/>
          <w:color w:val="76923C"/>
          <w:sz w:val="24"/>
          <w:szCs w:val="24"/>
          <w:lang w:eastAsia="nl-NL"/>
        </w:rPr>
        <w:t>-alerts worden samengesteld en verspreid door Jaap Penninga en Johan Klaassen.</w:t>
      </w:r>
      <w:r w:rsidRPr="00C267A8">
        <w:rPr>
          <w:rFonts w:ascii="Calibri" w:eastAsia="Times New Roman" w:hAnsi="Calibri" w:cs="Times New Roman"/>
          <w:i/>
          <w:iCs/>
          <w:color w:val="76923C"/>
          <w:sz w:val="24"/>
          <w:szCs w:val="24"/>
          <w:lang w:eastAsia="nl-NL"/>
        </w:rPr>
        <w:br/>
        <w:t>Ze verschijnen eens per week, doorgaans op vrijdag.</w:t>
      </w:r>
      <w:r w:rsidRPr="00C267A8">
        <w:rPr>
          <w:rFonts w:ascii="Calibri" w:eastAsia="Times New Roman" w:hAnsi="Calibri" w:cs="Times New Roman"/>
          <w:i/>
          <w:iCs/>
          <w:color w:val="76923C"/>
          <w:sz w:val="24"/>
          <w:szCs w:val="24"/>
          <w:lang w:eastAsia="nl-NL"/>
        </w:rPr>
        <w:br/>
      </w:r>
      <w:proofErr w:type="spellStart"/>
      <w:r w:rsidRPr="00C267A8">
        <w:rPr>
          <w:rFonts w:ascii="Calibri" w:eastAsia="Times New Roman" w:hAnsi="Calibri" w:cs="Times New Roman"/>
          <w:i/>
          <w:iCs/>
          <w:color w:val="76923C"/>
          <w:sz w:val="24"/>
          <w:szCs w:val="24"/>
          <w:lang w:eastAsia="nl-NL"/>
        </w:rPr>
        <w:t>Docu</w:t>
      </w:r>
      <w:proofErr w:type="spellEnd"/>
      <w:r w:rsidRPr="00C267A8">
        <w:rPr>
          <w:rFonts w:ascii="Calibri" w:eastAsia="Times New Roman" w:hAnsi="Calibri" w:cs="Times New Roman"/>
          <w:i/>
          <w:iCs/>
          <w:color w:val="76923C"/>
          <w:sz w:val="24"/>
          <w:szCs w:val="24"/>
          <w:lang w:eastAsia="nl-NL"/>
        </w:rPr>
        <w:t>-alerts besteden in het bijzonder aandacht aan de VG-sector in brede zin.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lang w:eastAsia="nl-NL"/>
        </w:rPr>
        <w:t> 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PGB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proofErr w:type="spellStart"/>
      <w:r w:rsidRPr="00C267A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C267A8" w:rsidRPr="00C267A8" w:rsidRDefault="00C267A8" w:rsidP="00C267A8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Rechter: gemeenten moeten aantal uren hulp vaststellen</w:t>
      </w: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Dat heeft de Centrale Raad van Beroep besloten in een beroepszaak. Deze </w:t>
      </w:r>
      <w:r w:rsidRPr="00C267A8">
        <w:rPr>
          <w:rFonts w:ascii="Calibri" w:eastAsia="Times New Roman" w:hAnsi="Calibri" w:cs="Times New Roman"/>
          <w:lang w:eastAsia="nl-NL"/>
        </w:rPr>
        <w:br/>
        <w:t>belangrijke uitspraak heeft gevolgen voor gemeenten die ‘resultaatgericht indiceren’.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Zie voor meer uitleg deze berichten van Ieder(in) </w:t>
      </w:r>
      <w:hyperlink r:id="rId5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</w:t>
        </w:r>
      </w:hyperlink>
      <w:r w:rsidRPr="00C267A8">
        <w:rPr>
          <w:rFonts w:ascii="Calibri" w:eastAsia="Times New Roman" w:hAnsi="Calibri" w:cs="Times New Roman"/>
          <w:b/>
          <w:bCs/>
          <w:lang w:eastAsia="nl-NL"/>
        </w:rPr>
        <w:t>,</w:t>
      </w:r>
      <w:r w:rsidRPr="00C267A8">
        <w:rPr>
          <w:rFonts w:ascii="Calibri" w:eastAsia="Times New Roman" w:hAnsi="Calibri" w:cs="Times New Roman"/>
          <w:lang w:eastAsia="nl-NL"/>
        </w:rPr>
        <w:t xml:space="preserve"> Binnenlands Bestuur </w:t>
      </w:r>
      <w:hyperlink r:id="rId6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</w:t>
        </w:r>
      </w:hyperlink>
      <w:r w:rsidRPr="00C267A8">
        <w:rPr>
          <w:rFonts w:ascii="Calibri" w:eastAsia="Times New Roman" w:hAnsi="Calibri" w:cs="Times New Roman"/>
          <w:lang w:eastAsia="nl-NL"/>
        </w:rPr>
        <w:t xml:space="preserve"> </w:t>
      </w:r>
      <w:r w:rsidRPr="00C267A8">
        <w:rPr>
          <w:rFonts w:ascii="Calibri" w:eastAsia="Times New Roman" w:hAnsi="Calibri" w:cs="Times New Roman"/>
          <w:lang w:eastAsia="nl-NL"/>
        </w:rPr>
        <w:br/>
        <w:t>en Gemeente.nu (</w:t>
      </w:r>
      <w:hyperlink r:id="rId7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link)</w:t>
        </w:r>
      </w:hyperlink>
      <w:r w:rsidRPr="00C267A8">
        <w:rPr>
          <w:rFonts w:ascii="Calibri" w:eastAsia="Times New Roman" w:hAnsi="Calibri" w:cs="Times New Roman"/>
          <w:b/>
          <w:bCs/>
          <w:lang w:eastAsia="nl-NL"/>
        </w:rPr>
        <w:t>.</w:t>
      </w:r>
      <w:r w:rsidRPr="00C267A8">
        <w:rPr>
          <w:rFonts w:ascii="Calibri" w:eastAsia="Times New Roman" w:hAnsi="Calibri" w:cs="Times New Roman"/>
          <w:lang w:eastAsia="nl-NL"/>
        </w:rPr>
        <w:t xml:space="preserve"> 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267A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Wlz</w:t>
      </w:r>
      <w:proofErr w:type="spellEnd"/>
    </w:p>
    <w:p w:rsidR="00C267A8" w:rsidRPr="00C267A8" w:rsidRDefault="00C267A8" w:rsidP="00C267A8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Versnelling indicatieproces bij CIZ; geen indicatie door zorginstellingen (2)</w:t>
      </w:r>
      <w:r w:rsidRPr="00C267A8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In aansluiting op het bericht daarover in de vorige </w:t>
      </w:r>
      <w:proofErr w:type="spellStart"/>
      <w:r w:rsidRPr="00C267A8">
        <w:rPr>
          <w:rFonts w:ascii="Calibri" w:eastAsia="Times New Roman" w:hAnsi="Calibri" w:cs="Times New Roman"/>
          <w:lang w:eastAsia="nl-NL"/>
        </w:rPr>
        <w:t>Dcu</w:t>
      </w:r>
      <w:proofErr w:type="spellEnd"/>
      <w:r w:rsidRPr="00C267A8">
        <w:rPr>
          <w:rFonts w:ascii="Calibri" w:eastAsia="Times New Roman" w:hAnsi="Calibri" w:cs="Times New Roman"/>
          <w:lang w:eastAsia="nl-NL"/>
        </w:rPr>
        <w:t xml:space="preserve">-alert verwijzen we nu ook naar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deze berichten van </w:t>
      </w:r>
      <w:proofErr w:type="spellStart"/>
      <w:r w:rsidRPr="00C267A8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C267A8">
        <w:rPr>
          <w:rFonts w:ascii="Calibri" w:eastAsia="Times New Roman" w:hAnsi="Calibri" w:cs="Times New Roman"/>
          <w:lang w:eastAsia="nl-NL"/>
        </w:rPr>
        <w:t xml:space="preserve"> (‘Minister ziet geen heil in indiceren door zorgaanbieder’) </w:t>
      </w:r>
      <w:r w:rsidRPr="00C267A8">
        <w:rPr>
          <w:rFonts w:ascii="Calibri" w:eastAsia="Times New Roman" w:hAnsi="Calibri" w:cs="Times New Roman"/>
          <w:lang w:eastAsia="nl-NL"/>
        </w:rPr>
        <w:br/>
      </w:r>
      <w:hyperlink r:id="rId8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</w:t>
        </w:r>
      </w:hyperlink>
      <w:r w:rsidRPr="00C267A8">
        <w:rPr>
          <w:rFonts w:ascii="Calibri" w:eastAsia="Times New Roman" w:hAnsi="Calibri" w:cs="Times New Roman"/>
          <w:b/>
          <w:bCs/>
          <w:lang w:eastAsia="nl-NL"/>
        </w:rPr>
        <w:t>)</w:t>
      </w:r>
      <w:r w:rsidRPr="00C267A8">
        <w:rPr>
          <w:rFonts w:ascii="Calibri" w:eastAsia="Times New Roman" w:hAnsi="Calibri" w:cs="Times New Roman"/>
          <w:lang w:eastAsia="nl-NL"/>
        </w:rPr>
        <w:t xml:space="preserve"> en VGN </w:t>
      </w:r>
      <w:hyperlink r:id="rId9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</w:t>
        </w:r>
      </w:hyperlink>
      <w:r w:rsidRPr="00C267A8">
        <w:rPr>
          <w:rFonts w:ascii="Calibri" w:eastAsia="Times New Roman" w:hAnsi="Calibri" w:cs="Times New Roman"/>
          <w:b/>
          <w:bCs/>
          <w:lang w:eastAsia="nl-NL"/>
        </w:rPr>
        <w:t>).</w:t>
      </w:r>
      <w:r w:rsidRPr="00C267A8">
        <w:rPr>
          <w:rFonts w:ascii="Calibri" w:eastAsia="Times New Roman" w:hAnsi="Calibri" w:cs="Times New Roman"/>
          <w:lang w:eastAsia="nl-NL"/>
        </w:rPr>
        <w:t xml:space="preserve"> De brief van de minister over dit onderwerp is </w:t>
      </w:r>
      <w:hyperlink r:id="rId10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hier</w:t>
        </w:r>
      </w:hyperlink>
      <w:r w:rsidRPr="00C267A8">
        <w:rPr>
          <w:rFonts w:ascii="Calibri" w:eastAsia="Times New Roman" w:hAnsi="Calibri" w:cs="Times New Roman"/>
          <w:lang w:eastAsia="nl-NL"/>
        </w:rPr>
        <w:t xml:space="preserve"> te vinden. </w:t>
      </w:r>
      <w:r w:rsidRPr="00C267A8">
        <w:rPr>
          <w:rFonts w:ascii="Calibri" w:eastAsia="Times New Roman" w:hAnsi="Calibri" w:cs="Times New Roman"/>
          <w:sz w:val="24"/>
          <w:szCs w:val="24"/>
          <w:lang w:eastAsia="nl-NL"/>
        </w:rPr>
        <w:t> 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Participatiewet</w:t>
      </w:r>
    </w:p>
    <w:p w:rsidR="00C267A8" w:rsidRPr="00C267A8" w:rsidRDefault="00C267A8" w:rsidP="00C267A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Bedragen wettelijk minimumloon per 1 januari 2019</w:t>
      </w:r>
      <w:r w:rsidRPr="00C267A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color w:val="000000"/>
          <w:lang w:eastAsia="nl-NL"/>
        </w:rPr>
        <w:t>Zie voor die bedragen</w:t>
      </w:r>
      <w:hyperlink r:id="rId11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 xml:space="preserve"> hier</w:t>
        </w:r>
      </w:hyperlink>
      <w:r w:rsidRPr="00C267A8">
        <w:rPr>
          <w:rFonts w:ascii="Calibri" w:eastAsia="Times New Roman" w:hAnsi="Calibri" w:cs="Times New Roman"/>
          <w:color w:val="000000"/>
          <w:lang w:eastAsia="nl-NL"/>
        </w:rPr>
        <w:t xml:space="preserve"> (bron: </w:t>
      </w:r>
      <w:proofErr w:type="spellStart"/>
      <w:r w:rsidRPr="00C267A8">
        <w:rPr>
          <w:rFonts w:ascii="Calibri" w:eastAsia="Times New Roman" w:hAnsi="Calibri" w:cs="Times New Roman"/>
          <w:color w:val="000000"/>
          <w:lang w:eastAsia="nl-NL"/>
        </w:rPr>
        <w:t>Schulinck</w:t>
      </w:r>
      <w:proofErr w:type="spellEnd"/>
      <w:r w:rsidRPr="00C267A8">
        <w:rPr>
          <w:rFonts w:ascii="Calibri" w:eastAsia="Times New Roman" w:hAnsi="Calibri" w:cs="Times New Roman"/>
          <w:color w:val="000000"/>
          <w:lang w:eastAsia="nl-NL"/>
        </w:rPr>
        <w:t>).</w:t>
      </w:r>
    </w:p>
    <w:p w:rsidR="00C267A8" w:rsidRPr="00C267A8" w:rsidRDefault="00C267A8" w:rsidP="00C267A8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Debat over aanpassingen Wajong </w:t>
      </w:r>
      <w:r w:rsidRPr="00C267A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color w:val="000000"/>
          <w:lang w:eastAsia="nl-NL"/>
        </w:rPr>
        <w:t xml:space="preserve">In het voorjaar verscheen een </w:t>
      </w:r>
      <w:proofErr w:type="spellStart"/>
      <w:r w:rsidRPr="00C267A8">
        <w:rPr>
          <w:rFonts w:ascii="Calibri" w:eastAsia="Times New Roman" w:hAnsi="Calibri" w:cs="Times New Roman"/>
          <w:color w:val="000000"/>
          <w:lang w:eastAsia="nl-NL"/>
        </w:rPr>
        <w:t>evaluatie-onderzoek</w:t>
      </w:r>
      <w:proofErr w:type="spellEnd"/>
      <w:r w:rsidRPr="00C267A8">
        <w:rPr>
          <w:rFonts w:ascii="Calibri" w:eastAsia="Times New Roman" w:hAnsi="Calibri" w:cs="Times New Roman"/>
          <w:color w:val="000000"/>
          <w:lang w:eastAsia="nl-NL"/>
        </w:rPr>
        <w:t xml:space="preserve"> (‘beleidsdoorlichting’) van </w:t>
      </w:r>
      <w:r w:rsidRPr="00C267A8">
        <w:rPr>
          <w:rFonts w:ascii="Calibri" w:eastAsia="Times New Roman" w:hAnsi="Calibri" w:cs="Times New Roman"/>
          <w:color w:val="000000"/>
          <w:lang w:eastAsia="nl-NL"/>
        </w:rPr>
        <w:br/>
        <w:t xml:space="preserve">de Wajong </w:t>
      </w:r>
      <w:hyperlink r:id="rId12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(link).</w:t>
        </w:r>
      </w:hyperlink>
      <w:r w:rsidRPr="00C267A8">
        <w:rPr>
          <w:rFonts w:ascii="Calibri" w:eastAsia="Times New Roman" w:hAnsi="Calibri" w:cs="Times New Roman"/>
          <w:color w:val="000000"/>
          <w:lang w:eastAsia="nl-NL"/>
        </w:rPr>
        <w:t xml:space="preserve">  Staatssecretaris Van Ark stuurde daarop in juli een brief met haar </w:t>
      </w:r>
      <w:r w:rsidRPr="00C267A8">
        <w:rPr>
          <w:rFonts w:ascii="Calibri" w:eastAsia="Times New Roman" w:hAnsi="Calibri" w:cs="Times New Roman"/>
          <w:color w:val="000000"/>
          <w:lang w:eastAsia="nl-NL"/>
        </w:rPr>
        <w:br/>
        <w:t xml:space="preserve">reactie en enkele acties </w:t>
      </w:r>
      <w:hyperlink r:id="rId13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</w:t>
        </w:r>
      </w:hyperlink>
      <w:r w:rsidRPr="00C267A8">
        <w:rPr>
          <w:rFonts w:ascii="Calibri" w:eastAsia="Times New Roman" w:hAnsi="Calibri" w:cs="Times New Roman"/>
          <w:b/>
          <w:bCs/>
          <w:color w:val="000000"/>
          <w:lang w:eastAsia="nl-NL"/>
        </w:rPr>
        <w:t>).</w:t>
      </w:r>
      <w:r w:rsidRPr="00C267A8">
        <w:rPr>
          <w:rFonts w:ascii="Calibri" w:eastAsia="Times New Roman" w:hAnsi="Calibri" w:cs="Times New Roman"/>
          <w:color w:val="000000"/>
          <w:lang w:eastAsia="nl-NL"/>
        </w:rPr>
        <w:t xml:space="preserve"> De Tweede Kamer praat binnenkort over deze brief. </w:t>
      </w:r>
      <w:r w:rsidRPr="00C267A8">
        <w:rPr>
          <w:rFonts w:ascii="Calibri" w:eastAsia="Times New Roman" w:hAnsi="Calibri" w:cs="Times New Roman"/>
          <w:color w:val="000000"/>
          <w:lang w:eastAsia="nl-NL"/>
        </w:rPr>
        <w:br/>
        <w:t xml:space="preserve">Ter voorbereiding op dat debat kunnen de Kamerfracties vragen indienen. De Landelijke </w:t>
      </w:r>
      <w:r w:rsidRPr="00C267A8">
        <w:rPr>
          <w:rFonts w:ascii="Calibri" w:eastAsia="Times New Roman" w:hAnsi="Calibri" w:cs="Times New Roman"/>
          <w:color w:val="000000"/>
          <w:lang w:eastAsia="nl-NL"/>
        </w:rPr>
        <w:br/>
      </w:r>
      <w:proofErr w:type="spellStart"/>
      <w:r w:rsidRPr="00C267A8">
        <w:rPr>
          <w:rFonts w:ascii="Calibri" w:eastAsia="Times New Roman" w:hAnsi="Calibri" w:cs="Times New Roman"/>
          <w:color w:val="000000"/>
          <w:lang w:eastAsia="nl-NL"/>
        </w:rPr>
        <w:t>Clientenraad</w:t>
      </w:r>
      <w:proofErr w:type="spellEnd"/>
      <w:r w:rsidRPr="00C267A8">
        <w:rPr>
          <w:rFonts w:ascii="Calibri" w:eastAsia="Times New Roman" w:hAnsi="Calibri" w:cs="Times New Roman"/>
          <w:color w:val="000000"/>
          <w:lang w:eastAsia="nl-NL"/>
        </w:rPr>
        <w:t xml:space="preserve"> (LCR) heeft nu een brief gestuurd met daarin een aantal suggesties </w:t>
      </w:r>
      <w:hyperlink r:id="rId14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</w:t>
        </w:r>
      </w:hyperlink>
      <w:r w:rsidRPr="00C267A8">
        <w:rPr>
          <w:rFonts w:ascii="Calibri" w:eastAsia="Times New Roman" w:hAnsi="Calibri" w:cs="Times New Roman"/>
          <w:b/>
          <w:bCs/>
          <w:color w:val="000000"/>
          <w:lang w:eastAsia="nl-NL"/>
        </w:rPr>
        <w:t>).</w:t>
      </w:r>
      <w:r w:rsidRPr="00C267A8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</w:t>
      </w:r>
    </w:p>
    <w:p w:rsidR="00C267A8" w:rsidRPr="00C267A8" w:rsidRDefault="00C267A8" w:rsidP="00C267A8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Divers </w:t>
      </w:r>
    </w:p>
    <w:p w:rsidR="00C267A8" w:rsidRPr="00C267A8" w:rsidRDefault="00C267A8" w:rsidP="00C267A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Gemeenten mogen pinnen niet verplichten</w:t>
      </w:r>
      <w:r w:rsidRPr="00C267A8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Dat zegt de Europese Centrale Bank (ECB). Een aantal gemeenten biedt nu geen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mogelijkheid meer om contant te betalen voor bv. paspoort of identiteitsbewijs 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De ECB vindt dat niet terecht. Zie voor meer info deze berichten van Ieder(in) </w:t>
      </w:r>
      <w:hyperlink r:id="rId15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</w:t>
        </w:r>
      </w:hyperlink>
      <w:r w:rsidRPr="00C267A8">
        <w:rPr>
          <w:rFonts w:ascii="Calibri" w:eastAsia="Times New Roman" w:hAnsi="Calibri" w:cs="Times New Roman"/>
          <w:lang w:eastAsia="nl-NL"/>
        </w:rPr>
        <w:br/>
        <w:t xml:space="preserve">en Binnenlands Bestuur </w:t>
      </w:r>
      <w:r w:rsidRPr="00C267A8">
        <w:rPr>
          <w:rFonts w:ascii="Calibri" w:eastAsia="Times New Roman" w:hAnsi="Calibri" w:cs="Times New Roman"/>
          <w:b/>
          <w:bCs/>
          <w:lang w:eastAsia="nl-NL"/>
        </w:rPr>
        <w:t>(</w:t>
      </w:r>
      <w:hyperlink r:id="rId16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link)</w:t>
        </w:r>
      </w:hyperlink>
      <w:r w:rsidRPr="00C267A8">
        <w:rPr>
          <w:rFonts w:ascii="Calibri" w:eastAsia="Times New Roman" w:hAnsi="Calibri" w:cs="Times New Roman"/>
          <w:b/>
          <w:bCs/>
          <w:lang w:eastAsia="nl-NL"/>
        </w:rPr>
        <w:t>.</w:t>
      </w:r>
    </w:p>
    <w:p w:rsidR="00C267A8" w:rsidRPr="00C267A8" w:rsidRDefault="00C267A8" w:rsidP="00C267A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Meer sociale robots en slimme hulmiddelen ingezet in gehandicaptenzorg</w:t>
      </w: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Zie bv </w:t>
      </w:r>
      <w:hyperlink r:id="rId17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dit bericht</w:t>
        </w:r>
      </w:hyperlink>
      <w:r w:rsidRPr="00C267A8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C267A8">
        <w:rPr>
          <w:rFonts w:ascii="Calibri" w:eastAsia="Times New Roman" w:hAnsi="Calibri" w:cs="Times New Roman"/>
          <w:lang w:eastAsia="nl-NL"/>
        </w:rPr>
        <w:t>(</w:t>
      </w:r>
      <w:proofErr w:type="spellStart"/>
      <w:r w:rsidRPr="00C267A8">
        <w:rPr>
          <w:rFonts w:ascii="Calibri" w:eastAsia="Times New Roman" w:hAnsi="Calibri" w:cs="Times New Roman"/>
          <w:lang w:eastAsia="nl-NL"/>
        </w:rPr>
        <w:t>bron:Skipr</w:t>
      </w:r>
      <w:proofErr w:type="spellEnd"/>
      <w:r w:rsidRPr="00C267A8">
        <w:rPr>
          <w:rFonts w:ascii="Calibri" w:eastAsia="Times New Roman" w:hAnsi="Calibri" w:cs="Times New Roman"/>
          <w:lang w:eastAsia="nl-NL"/>
        </w:rPr>
        <w:t xml:space="preserve">) over sociale robots bij zorginstelling Philadelphia.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Een ander voorbeeld is de emotiemeter voor mensen met een ernstige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(meervoudige) beperking van zorginstelling Severinus </w:t>
      </w:r>
      <w:hyperlink r:id="rId18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</w:t>
        </w:r>
        <w:r w:rsidRPr="00C267A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.</w:t>
        </w:r>
      </w:hyperlink>
    </w:p>
    <w:p w:rsidR="00C267A8" w:rsidRPr="00C267A8" w:rsidRDefault="00C267A8" w:rsidP="00C267A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Integrale Vroeghulp weer meer op de kaart</w:t>
      </w: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Op landelijke niveau wordt Integrale Vroeghulp (IVH) sinds 2017 gecoördineerd door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het NCJ (Nederlands Centrum Jeugdgezondheid) </w:t>
      </w:r>
      <w:hyperlink r:id="rId19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</w:t>
        </w:r>
        <w:r w:rsidRPr="00C267A8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.</w:t>
        </w:r>
      </w:hyperlink>
      <w:r w:rsidRPr="00C267A8">
        <w:rPr>
          <w:rFonts w:ascii="Calibri" w:eastAsia="Times New Roman" w:hAnsi="Calibri" w:cs="Times New Roman"/>
          <w:lang w:eastAsia="nl-NL"/>
        </w:rPr>
        <w:t xml:space="preserve"> Om meer bekendheid te geven </w:t>
      </w:r>
      <w:r w:rsidRPr="00C267A8">
        <w:rPr>
          <w:rFonts w:ascii="Calibri" w:eastAsia="Times New Roman" w:hAnsi="Calibri" w:cs="Times New Roman"/>
          <w:lang w:eastAsia="nl-NL"/>
        </w:rPr>
        <w:br/>
        <w:t xml:space="preserve">aan IVH wordt nu een </w:t>
      </w:r>
      <w:proofErr w:type="spellStart"/>
      <w:r w:rsidRPr="00C267A8">
        <w:rPr>
          <w:rFonts w:ascii="Calibri" w:eastAsia="Times New Roman" w:hAnsi="Calibri" w:cs="Times New Roman"/>
          <w:lang w:eastAsia="nl-NL"/>
        </w:rPr>
        <w:t>toolkit</w:t>
      </w:r>
      <w:proofErr w:type="spellEnd"/>
      <w:r w:rsidRPr="00C267A8">
        <w:rPr>
          <w:rFonts w:ascii="Calibri" w:eastAsia="Times New Roman" w:hAnsi="Calibri" w:cs="Times New Roman"/>
          <w:lang w:eastAsia="nl-NL"/>
        </w:rPr>
        <w:t xml:space="preserve"> ontwikkeld </w:t>
      </w:r>
      <w:hyperlink r:id="rId20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</w:t>
        </w:r>
      </w:hyperlink>
      <w:r w:rsidRPr="00C267A8">
        <w:rPr>
          <w:rFonts w:ascii="Calibri" w:eastAsia="Times New Roman" w:hAnsi="Calibri" w:cs="Times New Roman"/>
          <w:lang w:eastAsia="nl-NL"/>
        </w:rPr>
        <w:t xml:space="preserve">. </w:t>
      </w:r>
    </w:p>
    <w:p w:rsidR="00C267A8" w:rsidRPr="00C267A8" w:rsidRDefault="00C267A8" w:rsidP="00C267A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Gebruik lift bij brand mag soms wel</w:t>
      </w: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Uit onderzoek van het ministerie van Binnenlandse Zaken en Koninkrijksrelaties blijkt </w:t>
      </w:r>
      <w:r w:rsidRPr="00C267A8">
        <w:rPr>
          <w:rFonts w:ascii="Calibri" w:eastAsia="Times New Roman" w:hAnsi="Calibri" w:cs="Times New Roman"/>
          <w:lang w:eastAsia="nl-NL"/>
        </w:rPr>
        <w:br/>
        <w:t>dat gebruik van de lift bij brand in bepaalde gevallen mogelijk is. Meer info daarover</w:t>
      </w:r>
      <w:r w:rsidRPr="00C267A8">
        <w:rPr>
          <w:rFonts w:ascii="Calibri" w:eastAsia="Times New Roman" w:hAnsi="Calibri" w:cs="Times New Roman"/>
          <w:lang w:eastAsia="nl-NL"/>
        </w:rPr>
        <w:br/>
      </w:r>
      <w:hyperlink r:id="rId21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in dit bericht</w:t>
        </w:r>
      </w:hyperlink>
      <w:r w:rsidRPr="00C267A8">
        <w:rPr>
          <w:rFonts w:ascii="Calibri" w:eastAsia="Times New Roman" w:hAnsi="Calibri" w:cs="Times New Roman"/>
          <w:lang w:eastAsia="nl-NL"/>
        </w:rPr>
        <w:t xml:space="preserve"> (bron: Ieder(in); onderaan het bericht staat een link naar het rapport.  </w:t>
      </w:r>
    </w:p>
    <w:p w:rsidR="00C267A8" w:rsidRPr="00C267A8" w:rsidRDefault="00C267A8" w:rsidP="00C267A8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>Gehandicaptenzorg staat onder druk</w:t>
      </w:r>
      <w:r w:rsidRPr="00C267A8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267A8">
        <w:rPr>
          <w:rFonts w:ascii="Calibri" w:eastAsia="Times New Roman" w:hAnsi="Calibri" w:cs="Times New Roman"/>
          <w:lang w:eastAsia="nl-NL"/>
        </w:rPr>
        <w:t xml:space="preserve">Dat schrijft de het Dagblad van het Noorden in dit bericht </w:t>
      </w:r>
      <w:hyperlink r:id="rId22" w:tgtFrame="_parent" w:history="1">
        <w:r w:rsidRPr="00C267A8">
          <w:rPr>
            <w:rFonts w:ascii="Calibri" w:eastAsia="Times New Roman" w:hAnsi="Calibri" w:cs="Times New Roman"/>
            <w:b/>
            <w:bCs/>
            <w:color w:val="0000FF"/>
            <w:u w:val="single"/>
            <w:lang w:eastAsia="nl-NL"/>
          </w:rPr>
          <w:t>(link).</w:t>
        </w:r>
      </w:hyperlink>
    </w:p>
    <w:p w:rsidR="00004EF1" w:rsidRDefault="00004EF1">
      <w:bookmarkStart w:id="0" w:name="_GoBack"/>
      <w:bookmarkEnd w:id="0"/>
    </w:p>
    <w:sectPr w:rsidR="0000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025"/>
    <w:multiLevelType w:val="multilevel"/>
    <w:tmpl w:val="76B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95389"/>
    <w:multiLevelType w:val="multilevel"/>
    <w:tmpl w:val="091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577A1"/>
    <w:multiLevelType w:val="multilevel"/>
    <w:tmpl w:val="6CF8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748F3"/>
    <w:multiLevelType w:val="multilevel"/>
    <w:tmpl w:val="B40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8"/>
    <w:rsid w:val="00004EF1"/>
    <w:rsid w:val="00C267A8"/>
    <w:rsid w:val="00C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AE33-60CD-4618-AE87-9D7A0527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actueel/id36273-minister-ziet-geen-heil-in-indiceren-door-zorgaanbieder.html" TargetMode="External"/><Relationship Id="rId13" Type="http://schemas.openxmlformats.org/officeDocument/2006/relationships/hyperlink" Target="https://www.rijksoverheid.nl/documenten/kamerstukken/2018/07/10/kamerbrief-kabinetsreactie-beleidsdoorlichting-wajong" TargetMode="External"/><Relationship Id="rId18" Type="http://schemas.openxmlformats.org/officeDocument/2006/relationships/hyperlink" Target="https://www.nationalezorggids.nl/gehandicaptenzorg/nieuws/45177-zorgorganisatie-test-emotiemeter-bij-clienten-met-verstandelijke-beperk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ederin.nl/nieuws/18367/liften-bij-brand-soms-wel-bruikbaar/" TargetMode="External"/><Relationship Id="rId7" Type="http://schemas.openxmlformats.org/officeDocument/2006/relationships/hyperlink" Target="https://www.gemeente.nu/blog/gemeenten-moeten-aan-de-bak-na-wmo-uitspraak/" TargetMode="External"/><Relationship Id="rId12" Type="http://schemas.openxmlformats.org/officeDocument/2006/relationships/hyperlink" Target="https://www.rijksoverheid.nl/documenten/rapporten/2018/07/10/beleidsdoorlichting-szw-begrotingsartikel-4-wajong" TargetMode="External"/><Relationship Id="rId17" Type="http://schemas.openxmlformats.org/officeDocument/2006/relationships/hyperlink" Target="https://www.skipr.nl/actueel/id36289-philadelphia-zet-nog-meer-sociale-robots-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nenlandsbestuur.nl/financien/nieuws/ecb-pin-only-beleid-gemeenten-mag-niet.9599706.lynkx" TargetMode="External"/><Relationship Id="rId20" Type="http://schemas.openxmlformats.org/officeDocument/2006/relationships/hyperlink" Target="https://vng.nl/onderwerpenindex/jeugd/jeugdhulp/nieuws/toolkit-integrale-vroeghulp-in-de-ma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nenlandsbestuur.nl/sociaal/nieuws/uitspraak-crvb-doodsteek-resultaatgericht.9600048.lynkx" TargetMode="External"/><Relationship Id="rId11" Type="http://schemas.openxmlformats.org/officeDocument/2006/relationships/hyperlink" Target="https://www.schulinck.nl/nieuws-sociaal-domein-participatiewet-wettelijk-minimumloon-per-1-januari-201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ederin.nl/nieuws/18370/uitspraak-rechter--gemeenten-moeten-helder-zijn-over-aantal-uren-hulp/" TargetMode="External"/><Relationship Id="rId15" Type="http://schemas.openxmlformats.org/officeDocument/2006/relationships/hyperlink" Target="https://iederin.nl/nieuws/18369/europese-centrale-bank---gemeenten-mogen-pinnen-niet-verplichten-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ijksoverheid.nl/ministeries/ministerie-van-volksgezondheid-welzijn-en-sport/documenten/kamerstukken/2018/10/19/kamerbrief-over-de-toekomst-van-de-indicatiestelling-wlz-werkwijze" TargetMode="External"/><Relationship Id="rId19" Type="http://schemas.openxmlformats.org/officeDocument/2006/relationships/hyperlink" Target="https://vng.nl/onderwerpenindex/jeugd/jeugdhulp/nieuws/landelijke-coordinatie-integrale-vroeghulp-krijgt-door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gn.nl/artikel/27017" TargetMode="External"/><Relationship Id="rId14" Type="http://schemas.openxmlformats.org/officeDocument/2006/relationships/hyperlink" Target="http://www.landelijkeclientenraad.nl/Nieuws/Wajong-vraagt-kritische-blik-voor-toekomstig-beleid" TargetMode="External"/><Relationship Id="rId22" Type="http://schemas.openxmlformats.org/officeDocument/2006/relationships/hyperlink" Target="https://www.dvhn.nl/groningen/Gehandicaptenzorg-in-de-knel-door-toename-ernstig-verstandelijk-beperkten-23668933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2018-10-27T07:54:00Z</dcterms:created>
  <dcterms:modified xsi:type="dcterms:W3CDTF">2018-10-27T08:34:00Z</dcterms:modified>
</cp:coreProperties>
</file>